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Pr="003011A4" w:rsidRDefault="00B67FB7" w:rsidP="00B67FB7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B67FB7" w:rsidRDefault="007E5C3A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B67FB7" w:rsidRDefault="008F1820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Антоновка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 __</w:t>
                  </w:r>
                  <w:r w:rsidR="008F1820" w:rsidRPr="008F1820">
                    <w:rPr>
                      <w:szCs w:val="28"/>
                      <w:u w:val="single"/>
                    </w:rPr>
                    <w:t>18</w:t>
                  </w:r>
                  <w:r w:rsidRPr="008F1820">
                    <w:rPr>
                      <w:szCs w:val="28"/>
                      <w:u w:val="single"/>
                    </w:rPr>
                    <w:t>_</w:t>
                  </w:r>
                  <w:r>
                    <w:rPr>
                      <w:szCs w:val="28"/>
                    </w:rPr>
                    <w:t>_ » ______</w:t>
                  </w:r>
                  <w:r w:rsidR="008F1820" w:rsidRPr="008F1820">
                    <w:rPr>
                      <w:szCs w:val="28"/>
                      <w:u w:val="single"/>
                    </w:rPr>
                    <w:t>03</w:t>
                  </w:r>
                  <w:r w:rsidRPr="008F1820">
                    <w:rPr>
                      <w:szCs w:val="28"/>
                      <w:u w:val="single"/>
                    </w:rPr>
                    <w:t>_</w:t>
                  </w:r>
                  <w:r>
                    <w:rPr>
                      <w:szCs w:val="28"/>
                    </w:rPr>
                    <w:t>______ 2014 г.</w:t>
                  </w:r>
                </w:p>
                <w:p w:rsidR="00B67FB7" w:rsidRDefault="00B67FB7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___</w:t>
                  </w:r>
                  <w:r w:rsidR="002B20F6" w:rsidRPr="002B20F6">
                    <w:rPr>
                      <w:szCs w:val="28"/>
                      <w:u w:val="single"/>
                    </w:rPr>
                    <w:t>6</w:t>
                  </w:r>
                  <w:r w:rsidRPr="002B20F6">
                    <w:rPr>
                      <w:szCs w:val="28"/>
                      <w:u w:val="single"/>
                    </w:rPr>
                    <w:t>_</w:t>
                  </w:r>
                  <w:r>
                    <w:rPr>
                      <w:szCs w:val="28"/>
                    </w:rPr>
                    <w:t>__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Об утверждении порядка организации на территор</w:t>
      </w:r>
      <w:r w:rsidR="002B20F6">
        <w:rPr>
          <w:rFonts w:cs="Times New Roman"/>
          <w:b/>
          <w:bCs/>
          <w:sz w:val="24"/>
          <w:szCs w:val="24"/>
        </w:rPr>
        <w:t xml:space="preserve">ии сельского поселения Антоновка </w:t>
      </w:r>
      <w:r w:rsidRPr="00341304">
        <w:rPr>
          <w:rFonts w:cs="Times New Roman"/>
          <w:b/>
          <w:bCs/>
          <w:sz w:val="24"/>
          <w:szCs w:val="24"/>
        </w:rPr>
        <w:t xml:space="preserve">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341304">
          <w:rPr>
            <w:rFonts w:cs="Times New Roman"/>
            <w:color w:val="0000FF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341304">
        <w:rPr>
          <w:rFonts w:cs="Times New Roman"/>
          <w:sz w:val="24"/>
          <w:szCs w:val="24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>, Админи</w:t>
      </w:r>
      <w:r w:rsidR="002B20F6">
        <w:rPr>
          <w:sz w:val="24"/>
          <w:szCs w:val="24"/>
        </w:rPr>
        <w:t>страция сельского поселения Антоновка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341304">
          <w:rPr>
            <w:rFonts w:cs="Times New Roman"/>
            <w:color w:val="0000FF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терри</w:t>
      </w:r>
      <w:r w:rsidR="002B20F6">
        <w:rPr>
          <w:rFonts w:cs="Times New Roman"/>
          <w:sz w:val="24"/>
          <w:szCs w:val="24"/>
        </w:rPr>
        <w:t xml:space="preserve">тории сельского поселения Антоновка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2B20F6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  сельского  поселения Антоновка</w:t>
      </w:r>
      <w:r w:rsidR="00B67FB7"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</w:t>
      </w:r>
      <w:r w:rsidR="002B20F6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3629A6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="002B20F6">
        <w:rPr>
          <w:rFonts w:eastAsia="Times New Roman" w:cs="Times New Roman"/>
          <w:sz w:val="24"/>
          <w:szCs w:val="24"/>
          <w:lang w:eastAsia="ru-RU"/>
        </w:rPr>
        <w:t xml:space="preserve">      К.Н. Мурзин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сел</w:t>
      </w:r>
      <w:r w:rsidR="002B20F6">
        <w:rPr>
          <w:spacing w:val="7"/>
          <w:sz w:val="24"/>
          <w:szCs w:val="24"/>
        </w:rPr>
        <w:t>ьского  поселения Антоновка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№ ___</w:t>
      </w:r>
      <w:r w:rsidR="002B20F6" w:rsidRPr="002B20F6">
        <w:rPr>
          <w:spacing w:val="7"/>
          <w:sz w:val="24"/>
          <w:szCs w:val="24"/>
          <w:u w:val="single"/>
        </w:rPr>
        <w:t>6</w:t>
      </w:r>
      <w:r w:rsidRPr="00341304">
        <w:rPr>
          <w:spacing w:val="7"/>
          <w:sz w:val="24"/>
          <w:szCs w:val="24"/>
        </w:rPr>
        <w:t>_от «__</w:t>
      </w:r>
      <w:r w:rsidR="002B20F6" w:rsidRPr="002B20F6">
        <w:rPr>
          <w:spacing w:val="7"/>
          <w:sz w:val="24"/>
          <w:szCs w:val="24"/>
          <w:u w:val="single"/>
        </w:rPr>
        <w:t>18</w:t>
      </w:r>
      <w:r w:rsidRPr="002B20F6">
        <w:rPr>
          <w:spacing w:val="7"/>
          <w:sz w:val="24"/>
          <w:szCs w:val="24"/>
          <w:u w:val="single"/>
        </w:rPr>
        <w:t>_</w:t>
      </w:r>
      <w:r w:rsidRPr="00341304">
        <w:rPr>
          <w:spacing w:val="7"/>
          <w:sz w:val="24"/>
          <w:szCs w:val="24"/>
        </w:rPr>
        <w:t>__»_____</w:t>
      </w:r>
      <w:r w:rsidR="002B20F6" w:rsidRPr="002B20F6">
        <w:rPr>
          <w:spacing w:val="7"/>
          <w:sz w:val="24"/>
          <w:szCs w:val="24"/>
          <w:u w:val="single"/>
        </w:rPr>
        <w:t>03</w:t>
      </w:r>
      <w:r w:rsidRPr="00341304">
        <w:rPr>
          <w:spacing w:val="7"/>
          <w:sz w:val="24"/>
          <w:szCs w:val="24"/>
        </w:rPr>
        <w:t>_____2014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</w:t>
      </w:r>
      <w:r w:rsidR="00A46176">
        <w:rPr>
          <w:rFonts w:cs="Times New Roman"/>
          <w:b/>
          <w:bCs/>
          <w:sz w:val="24"/>
          <w:szCs w:val="24"/>
        </w:rPr>
        <w:t>ПОСЕЛЕНИЯ АНТОНОВКА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1.1. Настоящий Порядок организации на терр</w:t>
      </w:r>
      <w:r w:rsidR="002B20F6">
        <w:rPr>
          <w:rFonts w:cs="Times New Roman"/>
          <w:sz w:val="24"/>
          <w:szCs w:val="24"/>
        </w:rPr>
        <w:t>итории сельского поселения Антоновка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7E5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7E5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</w:t>
      </w:r>
      <w:r w:rsidR="00B67FB7" w:rsidRPr="00341304">
        <w:rPr>
          <w:rFonts w:cs="Times New Roman"/>
          <w:sz w:val="24"/>
          <w:szCs w:val="24"/>
        </w:rPr>
        <w:lastRenderedPageBreak/>
        <w:t>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proofErr w:type="spellStart"/>
      <w:r w:rsidR="00B67FB7" w:rsidRPr="001F6615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1F6615">
        <w:rPr>
          <w:rFonts w:cs="Times New Roman"/>
          <w:b/>
          <w:sz w:val="24"/>
          <w:szCs w:val="24"/>
        </w:rPr>
        <w:t xml:space="preserve">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 сельского поселени</w:t>
      </w:r>
      <w:r w:rsidR="00A46176">
        <w:rPr>
          <w:rFonts w:cs="Times New Roman"/>
          <w:sz w:val="24"/>
          <w:szCs w:val="24"/>
        </w:rPr>
        <w:t>я Антоновка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 xml:space="preserve">е организациипринимают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rFonts w:cs="Times New Roman"/>
          <w:sz w:val="24"/>
          <w:szCs w:val="24"/>
        </w:rPr>
        <w:t>демеркуризация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lastRenderedPageBreak/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7E5C3A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7E5C3A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 Организация сбора для вывоза и передачи на утилизациюртутьсодержащих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 xml:space="preserve">приемот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A46176">
        <w:rPr>
          <w:rFonts w:cs="Times New Roman"/>
          <w:sz w:val="24"/>
          <w:szCs w:val="24"/>
        </w:rPr>
        <w:t>сельского поселения Антоновка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sergievsk</w:t>
      </w:r>
      <w:proofErr w:type="spellEnd"/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ru</w:t>
      </w:r>
      <w:proofErr w:type="spellEnd"/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10346C"/>
    <w:rsid w:val="00120506"/>
    <w:rsid w:val="00124621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2B20F6"/>
    <w:rsid w:val="003143D1"/>
    <w:rsid w:val="00341304"/>
    <w:rsid w:val="003521F0"/>
    <w:rsid w:val="003629A6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E5C3A"/>
    <w:rsid w:val="007F14A7"/>
    <w:rsid w:val="0081372A"/>
    <w:rsid w:val="00852BAE"/>
    <w:rsid w:val="008F1820"/>
    <w:rsid w:val="009A7744"/>
    <w:rsid w:val="009D7977"/>
    <w:rsid w:val="00A46176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ED4E-66A3-40D3-A7AB-12CB55CA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2014-03-18T06:53:00Z</cp:lastPrinted>
  <dcterms:created xsi:type="dcterms:W3CDTF">2014-02-10T07:21:00Z</dcterms:created>
  <dcterms:modified xsi:type="dcterms:W3CDTF">2014-03-18T11:59:00Z</dcterms:modified>
</cp:coreProperties>
</file>